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BCD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776">
        <w:rPr>
          <w:rFonts w:ascii="Times New Roman" w:hAnsi="Times New Roman" w:cs="Times New Roman"/>
          <w:b/>
          <w:sz w:val="28"/>
          <w:szCs w:val="28"/>
        </w:rPr>
        <w:t> </w:t>
      </w:r>
    </w:p>
    <w:p w:rsidR="00C66BCD" w:rsidRPr="001B0776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Тема 9. </w:t>
      </w:r>
      <w:r w:rsidRPr="001B0776">
        <w:rPr>
          <w:rFonts w:ascii="Times New Roman" w:hAnsi="Times New Roman" w:cs="Times New Roman"/>
          <w:b/>
          <w:sz w:val="28"/>
          <w:szCs w:val="28"/>
        </w:rPr>
        <w:t>Производные финансовые инструменты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1B0776">
        <w:rPr>
          <w:rFonts w:ascii="Times New Roman" w:hAnsi="Times New Roman" w:cs="Times New Roman"/>
          <w:b/>
          <w:sz w:val="28"/>
          <w:szCs w:val="28"/>
        </w:rPr>
        <w:t xml:space="preserve"> Форвардные контра</w:t>
      </w:r>
      <w:r w:rsidRPr="001B0776">
        <w:rPr>
          <w:rFonts w:ascii="Times New Roman" w:hAnsi="Times New Roman" w:cs="Times New Roman"/>
          <w:b/>
          <w:sz w:val="28"/>
          <w:szCs w:val="28"/>
        </w:rPr>
        <w:t>к</w:t>
      </w:r>
      <w:r w:rsidRPr="001B0776">
        <w:rPr>
          <w:rFonts w:ascii="Times New Roman" w:hAnsi="Times New Roman" w:cs="Times New Roman"/>
          <w:b/>
          <w:sz w:val="28"/>
          <w:szCs w:val="28"/>
        </w:rPr>
        <w:t>ты (форварды)</w:t>
      </w:r>
    </w:p>
    <w:p w:rsidR="00C66BCD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776">
        <w:rPr>
          <w:rFonts w:ascii="Times New Roman" w:hAnsi="Times New Roman" w:cs="Times New Roman"/>
          <w:b/>
          <w:sz w:val="28"/>
          <w:szCs w:val="28"/>
        </w:rPr>
        <w:t>Производные финансовые инструменты</w:t>
      </w:r>
      <w:r w:rsidRPr="000C3EDF">
        <w:rPr>
          <w:rFonts w:ascii="Times New Roman" w:hAnsi="Times New Roman" w:cs="Times New Roman"/>
          <w:sz w:val="28"/>
          <w:szCs w:val="28"/>
        </w:rPr>
        <w:t xml:space="preserve"> – это высшая математика инв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стиций. Понять их смысл и свойства не так-то просто, но зато эти финансовые инструменты дают инвестору уникальные возможности для выстраивания самых разнообразных стратегий в абсолютно любой ситуации вложения ваших денег.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 производным относятся финансовые инструменты, предусматривающие возможность покупки-продажи права на приобретение-поставку базового актива или получение – выплату дохода, связанного с изменением некоторой характер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стики этого актива. В основе многих финансовых инструментов лежат ценные бумаги.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Главными особенностями производных финансовых инструментов являются: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 xml:space="preserve"> их цена базируется на цене, лежащего в их основе актива, в качестве кот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рых могут выступать другие ценные бумаги;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 xml:space="preserve"> внешняя форма обращения производственных ценных бумаг аналогична обращению основных ценных бумаг;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 xml:space="preserve"> ограничен временной период существования по сравнению с периодом жизни биржевого актива (акции – бессрочные, облигации – годы и десятилетия).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 xml:space="preserve"> их купля-продажа позволяет получать прибыль при минимальных инвест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циях по сравнению с другими ценными бумагами, поскольку инвестор оплачивает не всю стоимость актива, а только гарантийный (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маржевой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) взнос.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Появление современных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деривативов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было обусловлено, главным образом,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хеджерскими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и спекулятивными устремлениями участников рынка.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Производные инструменты – есть ответ рынка, с одной стороны, на усиление его нестабильности, неопределенности, а с другой стороны, на удовлетворение запросов и интересов разнообразных групп участников рынка, находящихся в разных странах, с точки зрения доходности, риска, периодичности платежей, стоимости обслуживания, затрат на выпуск новых ценных бумаг, налогообложения и т.д.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Производный инструмент – это такой инструмент рынка, который позволяет получать дифференциальную прибыль из-за временных и пространственных различий в цене актива, который лежит в его основе, без каких-либо действий с самим этим активом.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Существует два основных типа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деривативов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: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-фьючерсные контракты;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-свободнообращающиеся, или биржевые, опционы.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>Форварды и фьючерсы, являющиеся наиболее распространенными приемами хеджирования, позволяют застраховаться от возможного резкого изменения цен на некоторый актив (металл, нефть, пшеница, акция и др.), поскольку дают возмо</w:t>
      </w:r>
      <w:r w:rsidRPr="000C3EDF">
        <w:rPr>
          <w:rFonts w:ascii="Times New Roman" w:hAnsi="Times New Roman" w:cs="Times New Roman"/>
          <w:sz w:val="28"/>
          <w:szCs w:val="28"/>
        </w:rPr>
        <w:t>ж</w:t>
      </w:r>
      <w:r w:rsidRPr="000C3EDF">
        <w:rPr>
          <w:rFonts w:ascii="Times New Roman" w:hAnsi="Times New Roman" w:cs="Times New Roman"/>
          <w:sz w:val="28"/>
          <w:szCs w:val="28"/>
        </w:rPr>
        <w:t>ность приобрести его по заранее фиксированной цене.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Форвардный контракт – договор купли-продажи какого-либо актива через определенный срок в будущем. Все условия этого договора оговариваются его сторонами в момент его заключения (время, место поставки, качество, количество товара, цена).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Форвардный контракт – столь же древнее изобретение, как и договор, осн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ванный на кассовой сделке. Его цель: та же самая, что и в кассовой сделке: купить-продать актив, но только не сейчас, а через какое-то время в будущем, но на условиях, оговоренных его сторонами в момент заключения контракта.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Отличия форвардных сделок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кассовых: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 xml:space="preserve"> на момент заключения сделки товар у продавца может отсутствовать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 xml:space="preserve"> форвардный контракт может заключаться не только с целью купли-продажи актива, но и с целью игры на разнице цен актива на момент заключения и момент исполнения сделки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При этом покупатель рассчитывает на дальнейший рост цены актива, леж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щего в основе контракта. Продавец надеется на понижение цены актива.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Преимущество форвардных сделок заключается в том, что они позволяют участникам заранее зафиксировать цену купли-продажи актива и таким образом застраховаться от неблагоприятного изменения цены.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Форвардные контракты имеют ряд отрицательных моментов.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 Каждый форвардный контракт представляет собой индивидуальное юр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дическое обязательство, и его условия разработаны для конкретной ситуации двух конкретных партнеров. Его параметры учитывают специфические требования договаривающихся сторон относительно его условий.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Тем не менее, есть исключения из правила. Например, на валютном форвардном рынке существуют стандартные сроки заключения сделок, предпочт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тельные размеры сделок. Кроме того, существует унификация таких характеристик сделок как формы расчетов, формы рассмотрения споров и т.д.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Таким образом, форвардные контракты не могут быть стандартными по определению, и как следствие, не являются обратимыми обязательств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ми. Вторичный рынок для форвардных контрактов очень узок или вообще отсу</w:t>
      </w:r>
      <w:r w:rsidRPr="000C3EDF">
        <w:rPr>
          <w:rFonts w:ascii="Times New Roman" w:hAnsi="Times New Roman" w:cs="Times New Roman"/>
          <w:sz w:val="28"/>
          <w:szCs w:val="28"/>
        </w:rPr>
        <w:t>т</w:t>
      </w:r>
      <w:r w:rsidRPr="000C3EDF">
        <w:rPr>
          <w:rFonts w:ascii="Times New Roman" w:hAnsi="Times New Roman" w:cs="Times New Roman"/>
          <w:sz w:val="28"/>
          <w:szCs w:val="28"/>
        </w:rPr>
        <w:t>ствует, поскольку трудно найти какое-либо третье лицо, интересам которого бы в точности соответствовали условия ранее заключ</w:t>
      </w:r>
      <w:r>
        <w:rPr>
          <w:rFonts w:ascii="Times New Roman" w:hAnsi="Times New Roman" w:cs="Times New Roman"/>
          <w:sz w:val="28"/>
          <w:szCs w:val="28"/>
        </w:rPr>
        <w:t>енного форвардного контракта.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>2.Форвардные сделки несут в себе риск неисполнения обязательств одной из сторон. Это вытекает из долговременного характера отношений сторон форвардн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го контракта.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 течением времени рыночная ситуация меняется, и положение сторон ко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тракта тоже может измениться, например, покупка актива может стать ненужной или невыгодной, а оплата невозможной из-за отсутствия средств.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Хотя форвардный контракт может предусматривать какие-то гарантии исполнения обязательств и санкции за их возможное неисполнение. Например, заключение форвардного контракта может подкрепляться гарантиями третьих лиц. Однако чаще всего стороны форвардного контракта строят свои длительные отношения на доверительной основе.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Форвардные контракты, как правило, завершаются поставкой, а их рынок я</w:t>
      </w:r>
      <w:r w:rsidRPr="000C3EDF">
        <w:rPr>
          <w:rFonts w:ascii="Times New Roman" w:hAnsi="Times New Roman" w:cs="Times New Roman"/>
          <w:sz w:val="28"/>
          <w:szCs w:val="28"/>
        </w:rPr>
        <w:t>в</w:t>
      </w:r>
      <w:r w:rsidRPr="000C3EDF">
        <w:rPr>
          <w:rFonts w:ascii="Times New Roman" w:hAnsi="Times New Roman" w:cs="Times New Roman"/>
          <w:sz w:val="28"/>
          <w:szCs w:val="28"/>
        </w:rPr>
        <w:t>ляется географически разобщенным. Это, прежде всего, рынок телефонных сделок, заключаемых между крупными дилерскими компаниями, причем сроки поставки по таким сделкам относительно короткие.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Фьючерсный контракт является развитием идеи форвардных контрактов.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EDF">
        <w:rPr>
          <w:rFonts w:ascii="Times New Roman" w:hAnsi="Times New Roman" w:cs="Times New Roman"/>
          <w:sz w:val="28"/>
          <w:szCs w:val="28"/>
        </w:rPr>
        <w:t>Фьючерсный контракт – это стандартный биржевой договор на поставку биржевого актива в указанный в договоре срок в будущем, по цене, установленной сторонами сделки в момент ее заключения.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Цена, по которой заключается фь</w:t>
      </w:r>
      <w:r w:rsidRPr="000C3EDF">
        <w:rPr>
          <w:rFonts w:ascii="Times New Roman" w:hAnsi="Times New Roman" w:cs="Times New Roman"/>
          <w:sz w:val="28"/>
          <w:szCs w:val="28"/>
        </w:rPr>
        <w:t>ю</w:t>
      </w:r>
      <w:r w:rsidRPr="000C3EDF">
        <w:rPr>
          <w:rFonts w:ascii="Times New Roman" w:hAnsi="Times New Roman" w:cs="Times New Roman"/>
          <w:sz w:val="28"/>
          <w:szCs w:val="28"/>
        </w:rPr>
        <w:t>черсный контракт, определяется путем свободной конкуренции среди участников торговли в операционном зале биржи.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форвардного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фьючерсный контракт отличается рядом существенных ос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бенностей. Различия в условиях форвардных и фьючерсных контрактов иллюстр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рует таблице 1.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Таблица 1 – Основные положения форвардных и фьючерсных контрактов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2901"/>
        <w:gridCol w:w="3108"/>
        <w:gridCol w:w="4163"/>
      </w:tblGrid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Положение контракта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Форвардный контракт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Фьючерсный контракт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1) Размер поставки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Согласовывается прода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цом и покупателем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Стандартизирован</w:t>
            </w:r>
            <w:proofErr w:type="gramEnd"/>
            <w:r w:rsidRPr="001B0776">
              <w:rPr>
                <w:rFonts w:ascii="Times New Roman" w:hAnsi="Times New Roman" w:cs="Times New Roman"/>
                <w:sz w:val="24"/>
                <w:szCs w:val="28"/>
              </w:rPr>
              <w:t xml:space="preserve"> биржей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2) Качество товара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Согласовывается прода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цом и покупателем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Стандартизировано; отклонения от установленного стандарта крайне н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велики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3) Время поставки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Наступает через срок, ог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воренный сторонами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Также наступает в будущем, станда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тизировано биржей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4) Место поставки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Согласовывается сторон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Устанавливается биржей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5) Цена товара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Согласовывается прода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цом и покупателем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Определяется в процессе открытого биржевого торга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6) Способ исполнения контракта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Контракт заканчивается п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ставкой наличного товара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Контракт ликвидируется офсетной сделкой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7)Регулирование сделки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Национальными законами о торговле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Законодательством о фьючерсной торговле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 xml:space="preserve">8) Эмитент и гарант 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сделки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 соглашению сторон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Клиринговая палата биржи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9) Публикация информ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ции по сделкам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Отсутствует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Обязательна</w:t>
            </w:r>
          </w:p>
        </w:tc>
      </w:tr>
      <w:tr w:rsidR="00C66BCD" w:rsidRPr="001B0776" w:rsidTr="00C34DF8">
        <w:tc>
          <w:tcPr>
            <w:tcW w:w="2901" w:type="dxa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10) Величина залога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В зависимости от степени доверия сторон</w:t>
            </w:r>
          </w:p>
        </w:tc>
        <w:tc>
          <w:tcPr>
            <w:tcW w:w="0" w:type="auto"/>
            <w:hideMark/>
          </w:tcPr>
          <w:p w:rsidR="00C66BCD" w:rsidRPr="001B0776" w:rsidRDefault="00C66BCD" w:rsidP="00C34DF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0776">
              <w:rPr>
                <w:rFonts w:ascii="Times New Roman" w:hAnsi="Times New Roman" w:cs="Times New Roman"/>
                <w:sz w:val="24"/>
                <w:szCs w:val="28"/>
              </w:rPr>
              <w:t>Определяется правилами торгов (маржа)</w:t>
            </w:r>
          </w:p>
        </w:tc>
      </w:tr>
    </w:tbl>
    <w:p w:rsidR="00C66BCD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Что такое форвардные контракты (форварды)?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Форвардный контракт, или форвард - сделка с каким-либо финансовым акт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вом (инструментом) с исполнением в определенный момент времени в будущем.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То есть при заключении форвардных контрактов стороны договариваются о том, что в определенную дату в будущем продавец продаст базисный финансовый актив покупателю, а тот заплатит за него зафиксированную в контракте цену.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Таким образом, обе стороны форвардных контрактов получают возможность застраховать свои инвестиции (бизнес) от изменения ситуации на рынке базисного финансового актива.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Потенциальные стороны форвардного контракта вполне могут найти друг друга в месте, где заключается много форвардных контрактов подобного типа.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Как правило, это место находится в крупном финансовом центре. Например, в начале XX века в США торговля форвардными контрактами была сосредоточена в Чикаго.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Однако желающим заключить форвардную сделку (подписать форвардный контракт) нужно решить не только проблему поиска друг друга.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Здесь есть две проблемы для заключения форвардной сделки: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Во-первых, вполне может получиться так, что нашедшие друг друга фермер и хлебозавод находятся в разных концах страны и для того, чтобы исполнить контракт придется перевозить пшеницу за тысячи километров.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Во-вторых, поскольку хлебозавод никогда не покупал пшеницу у этого фе</w:t>
      </w:r>
      <w:r w:rsidRPr="000C3EDF">
        <w:rPr>
          <w:rFonts w:ascii="Times New Roman" w:hAnsi="Times New Roman" w:cs="Times New Roman"/>
          <w:sz w:val="28"/>
          <w:szCs w:val="28"/>
        </w:rPr>
        <w:t>р</w:t>
      </w:r>
      <w:r w:rsidRPr="000C3EDF">
        <w:rPr>
          <w:rFonts w:ascii="Times New Roman" w:hAnsi="Times New Roman" w:cs="Times New Roman"/>
          <w:sz w:val="28"/>
          <w:szCs w:val="28"/>
        </w:rPr>
        <w:t>мера, он не может быть уверен в качестве покупаемого товара.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Эти две проблемы вполне легко решаются заключением, так называем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го, расчетного форвардного контракта.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C3EDF">
        <w:rPr>
          <w:rFonts w:ascii="Times New Roman" w:hAnsi="Times New Roman" w:cs="Times New Roman"/>
          <w:sz w:val="28"/>
          <w:szCs w:val="28"/>
        </w:rPr>
        <w:t xml:space="preserve"> форвардной цене прогноз будущего практически полностью отсутствует, значение имеют лишь текущая рыночная цена базисного актива, процентные ставки по кредитам и стоимость хранения актива до момента исполнения форвар</w:t>
      </w:r>
      <w:r w:rsidRPr="000C3EDF">
        <w:rPr>
          <w:rFonts w:ascii="Times New Roman" w:hAnsi="Times New Roman" w:cs="Times New Roman"/>
          <w:sz w:val="28"/>
          <w:szCs w:val="28"/>
        </w:rPr>
        <w:t>д</w:t>
      </w:r>
      <w:r w:rsidRPr="000C3EDF">
        <w:rPr>
          <w:rFonts w:ascii="Times New Roman" w:hAnsi="Times New Roman" w:cs="Times New Roman"/>
          <w:sz w:val="28"/>
          <w:szCs w:val="28"/>
        </w:rPr>
        <w:t>ного контракта.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Отсутствие необходимости поставки товара при исполнении форвардного контракта моментально привлекло внимание армии спекулянтов к этому финанс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вому инструменту.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Ведь достаточно правильно спрогнозировать изменение цен на базисный а</w:t>
      </w:r>
      <w:r w:rsidRPr="000C3EDF">
        <w:rPr>
          <w:rFonts w:ascii="Times New Roman" w:hAnsi="Times New Roman" w:cs="Times New Roman"/>
          <w:sz w:val="28"/>
          <w:szCs w:val="28"/>
        </w:rPr>
        <w:t>к</w:t>
      </w:r>
      <w:r w:rsidRPr="000C3EDF">
        <w:rPr>
          <w:rFonts w:ascii="Times New Roman" w:hAnsi="Times New Roman" w:cs="Times New Roman"/>
          <w:sz w:val="28"/>
          <w:szCs w:val="28"/>
        </w:rPr>
        <w:t xml:space="preserve">тив к моменту исполнения форвардного контракта, чтобы получить прибыль, не </w:t>
      </w:r>
      <w:r w:rsidRPr="000C3EDF">
        <w:rPr>
          <w:rFonts w:ascii="Times New Roman" w:hAnsi="Times New Roman" w:cs="Times New Roman"/>
          <w:sz w:val="28"/>
          <w:szCs w:val="28"/>
        </w:rPr>
        <w:lastRenderedPageBreak/>
        <w:t>вкладывая ни копейки и не производя никакого товара. Но, разумеется, если прогноз оказался неверным, спекулянт получит убыток.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Появление на рынке форвардных контрактов большого количества спекуля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тов увеличивает объем операций на рынке и упрощает заключение сделок по форвардным контрактам, но в то же время увеличивает риск отказа от исполнения обязательств по контракту.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 случае заключения форвардного контракта обе стороны получают прибыль вне зависимости от рыночной ситуации (поскольку оба занимаются реальным производством).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Спекулянт же получает прибыль от форвардного контракта только в случае, если его прогнозы оказались верными.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Если же он ошибся, то он получит убытки. И эти убытки могут стать прич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ной отказа спекулянта от исполнения форвардного контракта.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Попытки снять эту проблему привели к созданию рынка фьючерсных ко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трактов, а форвардные контракты заключаются сегодня только между крупными компаниями и банками.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Но, хотя операции с форвардными контрактами недоступны для частных и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весторов, понимание свойств этого инструмента помогает разобраться в свойствах более сложных производных финансовых инструментов, таких как фьючерсные контракты (фьючерсы) и опционные контракты (опционы).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Основные положения форвардного ценообразования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Форвардная цена контракта определяется из модели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Cost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Carry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или изде</w:t>
      </w:r>
      <w:r w:rsidRPr="000C3EDF">
        <w:rPr>
          <w:rFonts w:ascii="Times New Roman" w:hAnsi="Times New Roman" w:cs="Times New Roman"/>
          <w:sz w:val="28"/>
          <w:szCs w:val="28"/>
        </w:rPr>
        <w:t>р</w:t>
      </w:r>
      <w:r w:rsidRPr="000C3EDF">
        <w:rPr>
          <w:rFonts w:ascii="Times New Roman" w:hAnsi="Times New Roman" w:cs="Times New Roman"/>
          <w:sz w:val="28"/>
          <w:szCs w:val="28"/>
        </w:rPr>
        <w:t xml:space="preserve">жек удержания позиции по базовому активу. Данная модель основывается на принципе невозможности арбитража между базовым активом и фьючерсным контрактом на него. При этом в цене учитываются особенности форвардного контракта по сравнению с активом, лежащим в его основе. Например, классическая формула цены форвардного контракта на акцию, по которой на протяжении срока действия контракта не предвидится выплата дивидендов, имеет вид </w:t>
      </w:r>
    </w:p>
    <w:p w:rsidR="00C66BCD" w:rsidRPr="000C3EDF" w:rsidRDefault="00C66BCD" w:rsidP="00C66BCD">
      <w:pPr>
        <w:spacing w:after="0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45F665" wp14:editId="660A300B">
            <wp:extent cx="952500" cy="342900"/>
            <wp:effectExtent l="0" t="0" r="0" b="0"/>
            <wp:docPr id="1" name="Рисунок 1" descr="https://studwood.ru/imag_/4/19634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udwood.ru/imag_/4/19634/image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0C3EDF">
        <w:rPr>
          <w:rFonts w:ascii="Times New Roman" w:hAnsi="Times New Roman" w:cs="Times New Roman"/>
          <w:sz w:val="28"/>
          <w:szCs w:val="28"/>
        </w:rPr>
        <w:t>в непрерывном времени</w:t>
      </w:r>
    </w:p>
    <w:p w:rsidR="00C66BCD" w:rsidRPr="000C3EDF" w:rsidRDefault="00C66BCD" w:rsidP="00C66BCD">
      <w:pPr>
        <w:spacing w:after="0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E20E68" wp14:editId="0E4F81A7">
            <wp:extent cx="1428750" cy="390525"/>
            <wp:effectExtent l="0" t="0" r="0" b="9525"/>
            <wp:docPr id="2" name="Рисунок 2" descr="https://studwood.ru/imag_/4/19634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udwood.ru/imag_/4/19634/image0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3EDF">
        <w:rPr>
          <w:rFonts w:ascii="Times New Roman" w:hAnsi="Times New Roman" w:cs="Times New Roman"/>
          <w:sz w:val="28"/>
          <w:szCs w:val="28"/>
        </w:rPr>
        <w:t>в дискретном случае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C3EDF">
        <w:rPr>
          <w:rFonts w:ascii="Times New Roman" w:hAnsi="Times New Roman" w:cs="Times New Roman"/>
          <w:sz w:val="28"/>
          <w:szCs w:val="28"/>
        </w:rPr>
        <w:t>де</w:t>
      </w:r>
      <w:r w:rsidRPr="00AD2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C3EDF">
        <w:rPr>
          <w:rFonts w:ascii="Times New Roman" w:hAnsi="Times New Roman" w:cs="Times New Roman"/>
          <w:sz w:val="28"/>
          <w:szCs w:val="28"/>
        </w:rPr>
        <w:t>-цена форвардного контракта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D273B">
        <w:rPr>
          <w:rFonts w:ascii="Times New Roman" w:hAnsi="Times New Roman" w:cs="Times New Roman"/>
          <w:sz w:val="28"/>
          <w:szCs w:val="28"/>
        </w:rPr>
        <w:t xml:space="preserve"> </w:t>
      </w:r>
      <w:r w:rsidRPr="000C3EDF">
        <w:rPr>
          <w:rFonts w:ascii="Times New Roman" w:hAnsi="Times New Roman" w:cs="Times New Roman"/>
          <w:sz w:val="28"/>
          <w:szCs w:val="28"/>
        </w:rPr>
        <w:t>-цена базового актива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C3E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0C3EDF">
        <w:rPr>
          <w:rFonts w:ascii="Times New Roman" w:hAnsi="Times New Roman" w:cs="Times New Roman"/>
          <w:sz w:val="28"/>
          <w:szCs w:val="28"/>
        </w:rPr>
        <w:t>безрисковая</w:t>
      </w:r>
      <w:proofErr w:type="spellEnd"/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процентная ставка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C3E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до экспирации контракта</w:t>
      </w:r>
    </w:p>
    <w:p w:rsidR="00C66BCD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BCD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 xml:space="preserve">Из этой формулы видно, что цена форвардного контракта отличается от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спот-цены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базового актива на значение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безрисковой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процентной ставки в течение срока действия контракта. </w:t>
      </w:r>
    </w:p>
    <w:p w:rsidR="00C66BCD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 случае если данное выражение нарушается, возникает прибыльное откл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 xml:space="preserve">нение. Например, если цена форвардного контракта превышает цену актива на рынке спот более чем на значение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безрисковой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процентной ставки, арбитражер может занять деньги, купить акцию и продать форвард, если наоборот, то арбитр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 xml:space="preserve">жер займет акцию, продаст ее на рынке, а вырученные деньги разместит под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безрисковую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процентную ставку.</w:t>
      </w:r>
    </w:p>
    <w:p w:rsidR="00C66BCD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Стоит отметить, что подобные действия арбитражера возможны при очень больших допущениях, таких как возможность кредитования под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безрисковую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процентную ставку, нулевое гарантийное обеспечение и отсутствие транзакцио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 xml:space="preserve">ных издержек. Однако, для того, чтобы арбитражные механизмы заработали, не обязательно соблюдение данных условий, если имеется достаточно большое количество лиц, осуществляющих инвестиции в базовый актив форвардного контракта. 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Если рыночный агент держит на руках акции с целью получения выгоды, но при этом форвардная цена ниже справедливой, он может продать акции, заключить форвардный контракт, а вырученные за акции средства разместить под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вый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процент,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увеличивая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таким образом потенциальную доходность инвестиции. В случае если форвардная цена превышает справедливую, есть возможность сформировать так называемую синтетическую облигацию с доходностью выше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безрисковой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процентной ставки, при этом риск данного синтетического финанс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вого инструмента, в случае заключения на бирже фактически сводится к нулю. Таким образом, окончательный финансовый результат инвестора, каким бы он в итоге ни был, заведомо улучшится.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В ситуации, если по базовому активу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в течение действия форвардного ко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тракта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по базовому активу платится известный фиксированный доход, цена форвардного контракта изменяется на размер данной выплаты. Тогда формула принимает вид: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2D9D4A" wp14:editId="3FF7ED82">
            <wp:extent cx="1238250" cy="295275"/>
            <wp:effectExtent l="0" t="0" r="0" b="9525"/>
            <wp:docPr id="3" name="Рисунок 3" descr="https://studwood.ru/imag_/4/19634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udwood.ru/imag_/4/19634/image00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EDF">
        <w:rPr>
          <w:rFonts w:ascii="Times New Roman" w:hAnsi="Times New Roman" w:cs="Times New Roman"/>
          <w:sz w:val="28"/>
          <w:szCs w:val="28"/>
        </w:rPr>
        <w:t>в непрерывном времени и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5F74F6" wp14:editId="5A16C7F3">
            <wp:extent cx="1657350" cy="295275"/>
            <wp:effectExtent l="0" t="0" r="0" b="9525"/>
            <wp:docPr id="4" name="Рисунок 4" descr="https://studwood.ru/imag_/4/19634/image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udwood.ru/imag_/4/19634/image00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EDF">
        <w:rPr>
          <w:rFonts w:ascii="Times New Roman" w:hAnsi="Times New Roman" w:cs="Times New Roman"/>
          <w:sz w:val="28"/>
          <w:szCs w:val="28"/>
        </w:rPr>
        <w:t> </w:t>
      </w:r>
    </w:p>
    <w:p w:rsidR="00C66BCD" w:rsidRPr="00AD273B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C3EDF">
        <w:rPr>
          <w:rFonts w:ascii="Times New Roman" w:hAnsi="Times New Roman" w:cs="Times New Roman"/>
          <w:sz w:val="28"/>
          <w:szCs w:val="28"/>
        </w:rPr>
        <w:t xml:space="preserve">- ожидаемая стоимость выплаты. </w:t>
      </w:r>
    </w:p>
    <w:p w:rsidR="00C66BCD" w:rsidRPr="00AD273B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Данная формула актуальна, например, для контрактов на обыкновенные а</w:t>
      </w:r>
      <w:r w:rsidRPr="000C3EDF">
        <w:rPr>
          <w:rFonts w:ascii="Times New Roman" w:hAnsi="Times New Roman" w:cs="Times New Roman"/>
          <w:sz w:val="28"/>
          <w:szCs w:val="28"/>
        </w:rPr>
        <w:t>к</w:t>
      </w:r>
      <w:r w:rsidRPr="000C3EDF">
        <w:rPr>
          <w:rFonts w:ascii="Times New Roman" w:hAnsi="Times New Roman" w:cs="Times New Roman"/>
          <w:sz w:val="28"/>
          <w:szCs w:val="28"/>
        </w:rPr>
        <w:t>ции, по которым ожидается выплата дивидендов. В случае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если данное уравнение не соблюдается, возникает прибыльное отклонение. Если дивиденд недооценен рынком, есть возможность купить акцию, открыть короткую позицию </w:t>
      </w:r>
      <w:r w:rsidRPr="000C3EDF">
        <w:rPr>
          <w:rFonts w:ascii="Times New Roman" w:hAnsi="Times New Roman" w:cs="Times New Roman"/>
          <w:sz w:val="28"/>
          <w:szCs w:val="28"/>
        </w:rPr>
        <w:lastRenderedPageBreak/>
        <w:t xml:space="preserve">по форварду и получить часть дивидендов за акцию без какого-либо риска. Если наоборот, появляется возможность открыть короткую позицию по акции и длинную по форварду и получить разницу между фактическим дивидендом и значением дивидендов,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заложенном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в контракт. При этом стоит отметить, что в большинстве случаев, точное значение дивидендов, которые будут выплачены до определенного момента неизвестно. В подобной ситуации будет обозначать оценку ожидаемого дивиденда по данной акции, которая будет меняться в зависимости от поступа</w:t>
      </w:r>
      <w:r w:rsidRPr="000C3EDF">
        <w:rPr>
          <w:rFonts w:ascii="Times New Roman" w:hAnsi="Times New Roman" w:cs="Times New Roman"/>
          <w:sz w:val="28"/>
          <w:szCs w:val="28"/>
        </w:rPr>
        <w:t>ю</w:t>
      </w:r>
      <w:r w:rsidRPr="000C3EDF">
        <w:rPr>
          <w:rFonts w:ascii="Times New Roman" w:hAnsi="Times New Roman" w:cs="Times New Roman"/>
          <w:sz w:val="28"/>
          <w:szCs w:val="28"/>
        </w:rPr>
        <w:t>щей на рынок информации. Таким образом, форвардная цена на дивидендную акцию содержит в себе рыночную оценку выплачиваемых акцией дивидендов.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 случае с индексом акций форвардная цена учитывает дивиденды по всем акциям, входящим в индекс в соответствии с их долями в структуре индекса. Данная оценка выражается в так называемой дивидендной доходности индекса. В данном случае формула принимает вид: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01932A" wp14:editId="52777C96">
            <wp:extent cx="1381125" cy="466725"/>
            <wp:effectExtent l="0" t="0" r="9525" b="0"/>
            <wp:docPr id="5" name="Рисунок 5" descr="https://studwood.ru/imag_/4/19634/image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tudwood.ru/imag_/4/19634/image01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EDF">
        <w:rPr>
          <w:rFonts w:ascii="Times New Roman" w:hAnsi="Times New Roman" w:cs="Times New Roman"/>
          <w:sz w:val="28"/>
          <w:szCs w:val="28"/>
        </w:rPr>
        <w:t xml:space="preserve">в непрерывном времени </w:t>
      </w:r>
    </w:p>
    <w:p w:rsidR="00C66BCD" w:rsidRPr="00AD273B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F36786" wp14:editId="30D76223">
            <wp:extent cx="1809750" cy="390525"/>
            <wp:effectExtent l="0" t="0" r="0" b="9525"/>
            <wp:docPr id="6" name="Рисунок 6" descr="https://studwood.ru/imag_/4/19634/image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tudwood.ru/imag_/4/19634/image01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EDF">
        <w:rPr>
          <w:rFonts w:ascii="Times New Roman" w:hAnsi="Times New Roman" w:cs="Times New Roman"/>
          <w:sz w:val="28"/>
          <w:szCs w:val="28"/>
        </w:rPr>
        <w:t>в дискретном случае,</w:t>
      </w:r>
    </w:p>
    <w:p w:rsidR="00C66BCD" w:rsidRPr="00AD273B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C3EDF">
        <w:rPr>
          <w:rFonts w:ascii="Times New Roman" w:hAnsi="Times New Roman" w:cs="Times New Roman"/>
          <w:sz w:val="28"/>
          <w:szCs w:val="28"/>
        </w:rPr>
        <w:t>де</w:t>
      </w:r>
      <w:r w:rsidRPr="00AD2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C3EDF">
        <w:rPr>
          <w:rFonts w:ascii="Times New Roman" w:hAnsi="Times New Roman" w:cs="Times New Roman"/>
          <w:sz w:val="28"/>
          <w:szCs w:val="28"/>
        </w:rPr>
        <w:t xml:space="preserve"> -дивидендная доходность индекса за год, выраженная в процентах.</w:t>
      </w:r>
    </w:p>
    <w:p w:rsidR="00C66BCD" w:rsidRPr="00AD273B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Однако в определенных ситуациях точность данного выражения ставится под сомнение. Например, на российском фондовом рынке большая часть дивидендных выплат приходится на весенний период, в связи с этим форвардные контракты, срок действия которых не захватывает данный временной промежуток, не диско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тируются по дивидендной доходности.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Форвардная цена для валютных фьючерсов определяется как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DCA61D" wp14:editId="18DD98BB">
            <wp:extent cx="1724025" cy="485775"/>
            <wp:effectExtent l="0" t="0" r="0" b="0"/>
            <wp:docPr id="7" name="Рисунок 7" descr="https://studwood.ru/imag_/4/19634/image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tudwood.ru/imag_/4/19634/image01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EDF">
        <w:rPr>
          <w:rFonts w:ascii="Times New Roman" w:hAnsi="Times New Roman" w:cs="Times New Roman"/>
          <w:sz w:val="28"/>
          <w:szCs w:val="28"/>
        </w:rPr>
        <w:t>в непрерывном времени и</w:t>
      </w:r>
    </w:p>
    <w:p w:rsidR="00C66BCD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38EA85" wp14:editId="0A89A6B8">
            <wp:extent cx="1857375" cy="438150"/>
            <wp:effectExtent l="0" t="0" r="9525" b="0"/>
            <wp:docPr id="8" name="Рисунок 8" descr="https://studwood.ru/imag_/4/19634/image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tudwood.ru/imag_/4/19634/image01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в дискретном случае</w:t>
      </w:r>
    </w:p>
    <w:p w:rsidR="00C66BCD" w:rsidRPr="000C3EDF" w:rsidRDefault="00C66BCD" w:rsidP="00C66B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6BCD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то есть как кросс-курс валюты на рынке спот, поправленный на разницу в процентных ставках в разных валютах. Данное выражение опять же выходит из принципа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безарбитражности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. Инвестор, обладающий рублями, может разместить рубли в ОФЗ, получая рублевую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безрисковую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процентную ставку, либо обменять рубли на валюту, например доллары, и купить государственные облигации США. Для того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чтобы обеспечить обратную конвертацию, ему необходимо заключить </w:t>
      </w:r>
      <w:r w:rsidRPr="000C3EDF">
        <w:rPr>
          <w:rFonts w:ascii="Times New Roman" w:hAnsi="Times New Roman" w:cs="Times New Roman"/>
          <w:sz w:val="28"/>
          <w:szCs w:val="28"/>
        </w:rPr>
        <w:lastRenderedPageBreak/>
        <w:t>форвардную сделку, фиксирующую сегодня курс будущей валютно-обменной конвертации. В связи с тем, что рублевая ставка выше долларовой, форвардный курс доллара будет выше на величину разницы процентных ставок за период. В результате инвестору должно быть безразлично, в какой актив инвестировать, доходность в рублях будет одинаковой.</w:t>
      </w:r>
    </w:p>
    <w:p w:rsidR="00C66BCD" w:rsidRPr="000C3EDF" w:rsidRDefault="00C66BCD" w:rsidP="00C66BCD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 В случае отклонения цены фьючерса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справедливой появляется прибыл</w:t>
      </w:r>
      <w:r w:rsidRPr="000C3EDF">
        <w:rPr>
          <w:rFonts w:ascii="Times New Roman" w:hAnsi="Times New Roman" w:cs="Times New Roman"/>
          <w:sz w:val="28"/>
          <w:szCs w:val="28"/>
        </w:rPr>
        <w:t>ь</w:t>
      </w:r>
      <w:r w:rsidRPr="000C3EDF">
        <w:rPr>
          <w:rFonts w:ascii="Times New Roman" w:hAnsi="Times New Roman" w:cs="Times New Roman"/>
          <w:sz w:val="28"/>
          <w:szCs w:val="28"/>
        </w:rPr>
        <w:t xml:space="preserve">ное отклонение, позволяющее получить арбитражную доходность. Например, фьючерс доллар/рубль недооценен, тогда инвестор имеет возможность занять деньги в США, конвертировать их, разместить в ОФЗ и заключить контракт на покупку валюты к концу срока инвестирования. В обратной ситуации происходит заем средств в рублях, конвертация их в доллары и размещение в американские государственные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облигации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и заключение форвардной сделки на продажу валюты.</w:t>
      </w:r>
    </w:p>
    <w:p w:rsidR="00CC55E5" w:rsidRDefault="00CC55E5">
      <w:bookmarkStart w:id="0" w:name="_GoBack"/>
      <w:bookmarkEnd w:id="0"/>
    </w:p>
    <w:sectPr w:rsidR="00CC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C3F"/>
    <w:rsid w:val="00054C3F"/>
    <w:rsid w:val="00C66BCD"/>
    <w:rsid w:val="00CC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2413</Words>
  <Characters>13760</Characters>
  <Application>Microsoft Office Word</Application>
  <DocSecurity>0</DocSecurity>
  <Lines>114</Lines>
  <Paragraphs>32</Paragraphs>
  <ScaleCrop>false</ScaleCrop>
  <Company/>
  <LinksUpToDate>false</LinksUpToDate>
  <CharactersWithSpaces>16141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2020-06-19T10:30:00Z</dcterms:created>
  <dcterms:modified xsi:type="dcterms:W3CDTF">2020-06-19T10:30:00Z</dcterms:modified>
</cp:coreProperties>
</file>